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Katalina Dave</w:t>
      </w:r>
    </w:p>
    <w:p w:rsidR="00000000" w:rsidDel="00000000" w:rsidP="00000000" w:rsidRDefault="00000000" w:rsidRPr="00000000" w14:paraId="0000000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Professor Ferrell</w:t>
      </w:r>
    </w:p>
    <w:p w:rsidR="00000000" w:rsidDel="00000000" w:rsidP="00000000" w:rsidRDefault="00000000" w:rsidRPr="00000000" w14:paraId="0000000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November 2025</w:t>
      </w:r>
    </w:p>
    <w:p w:rsidR="00000000" w:rsidDel="00000000" w:rsidP="00000000" w:rsidRDefault="00000000" w:rsidRPr="00000000" w14:paraId="00000004">
      <w:pPr>
        <w:spacing w:line="48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Katalina Dave- Responsibility in the Chicago Iroquois Theater Fire</w:t>
      </w:r>
    </w:p>
    <w:p w:rsidR="00000000" w:rsidDel="00000000" w:rsidP="00000000" w:rsidRDefault="00000000" w:rsidRPr="00000000" w14:paraId="00000005">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Researching fires reveals seemingly preventable causes, such as faulty electrical wiring, flammable decorations, flawed building infrastructure, and even exits being deliberately blocked. The one thing that all of these causes have in common is an owner gambling with safety regulations and carrying the weight of responsibility that comes with blindly falling into the trap of prioritizing financial gain over safety. </w:t>
      </w:r>
      <w:r w:rsidDel="00000000" w:rsidR="00000000" w:rsidRPr="00000000">
        <w:rPr>
          <w:rFonts w:ascii="Times New Roman" w:cs="Times New Roman" w:eastAsia="Times New Roman" w:hAnsi="Times New Roman"/>
          <w:sz w:val="24"/>
          <w:szCs w:val="24"/>
          <w:rtl w:val="0"/>
        </w:rPr>
        <w:t xml:space="preserve">A common misconception is that the owners of the establishments destroyed by fires are corrupt and intentionally made the terrible decision that caused harm to the victims of the fire. While in reality, the owners were mostly not even thinking about a disaster occurring in response to their actions. They focus on what their audience will spend their time and money on, skipping over safety measures in the process. There were significantly less fire safety regulation laws, and a lack of proper enforcement of them, which businesses took advantage of in order to keep their businesses open.</w:t>
      </w:r>
    </w:p>
    <w:p w:rsidR="00000000" w:rsidDel="00000000" w:rsidP="00000000" w:rsidRDefault="00000000" w:rsidRPr="00000000" w14:paraId="00000007">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owners of businesses in the entertainment industry prioritize the profit their establishments garner for their whole careers. Their ability to stay open depends on location, hours, production, and the general appeal to audiences. The Iroquois Theater resided in Chicago, a bustling city that had a population of nearly 1.7 million during the beginning of the twentieth century.</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Fonts w:ascii="Times New Roman" w:cs="Times New Roman" w:eastAsia="Times New Roman" w:hAnsi="Times New Roman"/>
          <w:sz w:val="24"/>
          <w:szCs w:val="24"/>
          <w:rtl w:val="0"/>
        </w:rPr>
        <w:t xml:space="preserve"> Not only did Chicago welcome immigrants from all over Europe, but it was, and still is, one of the prime locations of theater productions in the United States. Garnering a large and diverse demographic of people who benefited businesses and earned the title of a “world city.”</w:t>
      </w:r>
      <w:r w:rsidDel="00000000" w:rsidR="00000000" w:rsidRPr="00000000">
        <w:rPr>
          <w:rFonts w:ascii="Times New Roman" w:cs="Times New Roman" w:eastAsia="Times New Roman" w:hAnsi="Times New Roman"/>
          <w:sz w:val="24"/>
          <w:szCs w:val="24"/>
          <w:vertAlign w:val="superscript"/>
        </w:rPr>
        <w:footnoteReference w:customMarkFollows="0" w:id="1"/>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8">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American fires during the twentieth century followed a common theme of a lack of knowledge and enforcement of fire safety measures and inspections. Theaters were no exception; they were </w:t>
      </w:r>
      <w:commentRangeStart w:id="0"/>
      <w:r w:rsidDel="00000000" w:rsidR="00000000" w:rsidRPr="00000000">
        <w:rPr>
          <w:rFonts w:ascii="Times New Roman" w:cs="Times New Roman" w:eastAsia="Times New Roman" w:hAnsi="Times New Roman"/>
          <w:sz w:val="24"/>
          <w:szCs w:val="24"/>
          <w:rtl w:val="0"/>
        </w:rPr>
        <w:t xml:space="preserve">built in haste, poorly maintained, and often opened before construction was complete</w:t>
      </w:r>
      <w:commentRangeEnd w:id="0"/>
      <w:r w:rsidDel="00000000" w:rsidR="00000000" w:rsidRPr="00000000">
        <w:commentReference w:id="0"/>
      </w:r>
      <w:r w:rsidDel="00000000" w:rsidR="00000000" w:rsidRPr="00000000">
        <w:rPr>
          <w:rFonts w:ascii="Times New Roman" w:cs="Times New Roman" w:eastAsia="Times New Roman" w:hAnsi="Times New Roman"/>
          <w:sz w:val="24"/>
          <w:szCs w:val="24"/>
          <w:rtl w:val="0"/>
        </w:rPr>
        <w:t xml:space="preserve">. Some people were deterred by the alarming sight of theaters burning and being rebuilt quickly. However, the deterrence was short-lived, as theaters were always rebuilt within a few short months of fires as if nothing had happened.</w:t>
      </w:r>
    </w:p>
    <w:p w:rsidR="00000000" w:rsidDel="00000000" w:rsidP="00000000" w:rsidRDefault="00000000" w:rsidRPr="00000000" w14:paraId="00000009">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On December 30, 1903,  the Chicago Iroquois Theater opened its doors to two thousand people.</w:t>
      </w:r>
      <w:r w:rsidDel="00000000" w:rsidR="00000000" w:rsidRPr="00000000">
        <w:rPr>
          <w:rFonts w:ascii="Times New Roman" w:cs="Times New Roman" w:eastAsia="Times New Roman" w:hAnsi="Times New Roman"/>
          <w:sz w:val="24"/>
          <w:szCs w:val="24"/>
          <w:vertAlign w:val="superscript"/>
        </w:rPr>
        <w:footnoteReference w:customMarkFollows="0" w:id="2"/>
      </w:r>
      <w:r w:rsidDel="00000000" w:rsidR="00000000" w:rsidRPr="00000000">
        <w:rPr>
          <w:rFonts w:ascii="Times New Roman" w:cs="Times New Roman" w:eastAsia="Times New Roman" w:hAnsi="Times New Roman"/>
          <w:sz w:val="24"/>
          <w:szCs w:val="24"/>
          <w:rtl w:val="0"/>
        </w:rPr>
        <w:t xml:space="preserve"> A group of predominantly women and children looking to sit back and relax while watching the show, </w:t>
      </w:r>
      <w:r w:rsidDel="00000000" w:rsidR="00000000" w:rsidRPr="00000000">
        <w:rPr>
          <w:rFonts w:ascii="Times New Roman" w:cs="Times New Roman" w:eastAsia="Times New Roman" w:hAnsi="Times New Roman"/>
          <w:i w:val="1"/>
          <w:iCs w:val="1"/>
          <w:sz w:val="24"/>
          <w:szCs w:val="24"/>
          <w:rtl w:val="0"/>
        </w:rPr>
        <w:t xml:space="preserve">Mr. Bluebeard, </w:t>
      </w:r>
      <w:r w:rsidDel="00000000" w:rsidR="00000000" w:rsidRPr="00000000">
        <w:rPr>
          <w:rFonts w:ascii="Times New Roman" w:cs="Times New Roman" w:eastAsia="Times New Roman" w:hAnsi="Times New Roman"/>
          <w:sz w:val="24"/>
          <w:szCs w:val="24"/>
          <w:rtl w:val="0"/>
        </w:rPr>
        <w:t xml:space="preserve">a sold-out matinee performance. Not only had the play been successful in numerous theaters around the country, but the theater where the show was held was advertised as “Absolutely fireproof.” That sort of advertisement, in light of the Great Chicago Fire in 1871, was a step forward in the right direction for Chicago’s citizens. The managers, William J. Davis and Henry J. Powers, were well-known names in the theater industry and hired Benjamin H. Marshall, a talented architect with extravagant taste, as the theater's architect.</w:t>
      </w:r>
      <w:r w:rsidDel="00000000" w:rsidR="00000000" w:rsidRPr="00000000">
        <w:rPr>
          <w:rFonts w:ascii="Times New Roman" w:cs="Times New Roman" w:eastAsia="Times New Roman" w:hAnsi="Times New Roman"/>
          <w:sz w:val="24"/>
          <w:szCs w:val="24"/>
          <w:vertAlign w:val="superscript"/>
        </w:rPr>
        <w:footnoteReference w:customMarkFollows="0" w:id="3"/>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A">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Although the Iroquois Theater's subcontract had included fireproofing details, the project itself held many </w:t>
      </w:r>
      <w:commentRangeStart w:id="1"/>
      <w:r w:rsidDel="00000000" w:rsidR="00000000" w:rsidRPr="00000000">
        <w:rPr>
          <w:rFonts w:ascii="Times New Roman" w:cs="Times New Roman" w:eastAsia="Times New Roman" w:hAnsi="Times New Roman"/>
          <w:sz w:val="24"/>
          <w:szCs w:val="24"/>
          <w:rtl w:val="0"/>
        </w:rPr>
        <w:t xml:space="preserve">delays. Delays</w:t>
      </w:r>
      <w:commentRangeEnd w:id="1"/>
      <w:r w:rsidDel="00000000" w:rsidR="00000000" w:rsidRPr="00000000">
        <w:commentReference w:id="1"/>
      </w:r>
      <w:r w:rsidDel="00000000" w:rsidR="00000000" w:rsidRPr="00000000">
        <w:rPr>
          <w:rFonts w:ascii="Times New Roman" w:cs="Times New Roman" w:eastAsia="Times New Roman" w:hAnsi="Times New Roman"/>
          <w:sz w:val="24"/>
          <w:szCs w:val="24"/>
          <w:rtl w:val="0"/>
        </w:rPr>
        <w:t xml:space="preserve"> that were present during the blueprint phase caused the Theater to only be able to open past the summer of 1903. This caused the business to miss out on summer performances and the profits they bring, and created some tension between the architect and the managers. Davis and Powers pressured the Fuller company to finish the job so the theater could open in time for the holidays. On opening night, the interior impressed all those who walked into it. With its large budget of an estimated five hundred thousand to one million dollars, the Iroquois Theater had delivered its promise of being “the most beautiful temple of drama.”</w:t>
      </w:r>
    </w:p>
    <w:p w:rsidR="00000000" w:rsidDel="00000000" w:rsidP="00000000" w:rsidRDefault="00000000" w:rsidRPr="00000000" w14:paraId="0000000B">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During the performance, the operator of the light on stage stepped away, and a sudden spark flashed, causing the asbestos curtain to burst into flames. Stage crew members tried to put out the fire, but to no avail; the fire spread rapidly. In less than fifteen minutes, six hundred people died as a result of the fire.</w:t>
      </w:r>
      <w:r w:rsidDel="00000000" w:rsidR="00000000" w:rsidRPr="00000000">
        <w:rPr>
          <w:rFonts w:ascii="Times New Roman" w:cs="Times New Roman" w:eastAsia="Times New Roman" w:hAnsi="Times New Roman"/>
          <w:sz w:val="24"/>
          <w:szCs w:val="24"/>
          <w:vertAlign w:val="superscript"/>
        </w:rPr>
        <w:footnoteReference w:customMarkFollows="0" w:id="4"/>
      </w:r>
      <w:r w:rsidDel="00000000" w:rsidR="00000000" w:rsidRPr="00000000">
        <w:rPr>
          <w:rFonts w:ascii="Times New Roman" w:cs="Times New Roman" w:eastAsia="Times New Roman" w:hAnsi="Times New Roman"/>
          <w:sz w:val="24"/>
          <w:szCs w:val="24"/>
          <w:rtl w:val="0"/>
        </w:rPr>
        <w:t xml:space="preserve"> As the victims struggled to exit in the overcrowded space in a panic, they realized that most of the exit doors were bolted shut, and the highest fire escape wasn’t completed. The rising smoke had no means of an exit, causing a burst of flames to come down onto audience members. The inward-opening doors caused exiting to be nearly impossible, in addition to the smoke blocking people's vision and decreasing oxygen levels.</w:t>
      </w:r>
    </w:p>
    <w:p w:rsidR="00000000" w:rsidDel="00000000" w:rsidP="00000000" w:rsidRDefault="00000000" w:rsidRPr="00000000" w14:paraId="0000000C">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Iroquois Theatre Fire caused outrage; citizens wondered how such a flawed establishment was allowed to open its doors and claim as many lives as it did. Not only did the theater lack automatic sprinklers, but it also lacked portable extinguishers.</w:t>
      </w:r>
      <w:r w:rsidDel="00000000" w:rsidR="00000000" w:rsidRPr="00000000">
        <w:rPr>
          <w:rFonts w:ascii="Times New Roman" w:cs="Times New Roman" w:eastAsia="Times New Roman" w:hAnsi="Times New Roman"/>
          <w:sz w:val="24"/>
          <w:szCs w:val="24"/>
          <w:vertAlign w:val="superscript"/>
        </w:rPr>
        <w:footnoteReference w:customMarkFollows="0" w:id="5"/>
      </w:r>
      <w:r w:rsidDel="00000000" w:rsidR="00000000" w:rsidRPr="00000000">
        <w:rPr>
          <w:rFonts w:ascii="Times New Roman" w:cs="Times New Roman" w:eastAsia="Times New Roman" w:hAnsi="Times New Roman"/>
          <w:sz w:val="24"/>
          <w:szCs w:val="24"/>
          <w:rtl w:val="0"/>
        </w:rPr>
        <w:t xml:space="preserve"> Many accusations and charges were used against people, yet not a single person claimed responsibility for the fire. The Fire Chief, William Musham, ruled that the fire was as disastrous as it was due to the lack of sprinklers. Nobody was jailed or even fined for the fire. The fire sparked a change in fire safety regulatory laws by allowing Fire Marshals to enter without the possibility of refusal from establishment owners.  </w:t>
      </w:r>
    </w:p>
    <w:p w:rsidR="00000000" w:rsidDel="00000000" w:rsidP="00000000" w:rsidRDefault="00000000" w:rsidRPr="00000000" w14:paraId="0000000D">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Responsibility in American fires, especially in twentieth-century fires, has a common theme of not being one-dimensional. There are many disastrous fires that are deliberately set to harm people. However, the Iroquois Theater Fire is not a fire that is comparable to that. William J. Davis and Henry J. Powers deliberately made decisions that risked the safety of the victims, yet the decisions were made out of greed, not malice. The Iroquois Theater ensured that nobody could sit somewhere they did not pay for and opened before construction for the sake of money. A situation that provides a high risk, with a potential high reward. </w:t>
      </w:r>
    </w:p>
    <w:p w:rsidR="00000000" w:rsidDel="00000000" w:rsidP="00000000" w:rsidRDefault="00000000" w:rsidRPr="00000000" w14:paraId="0000000E">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Harvard study covered how the brain has two distinct neurons that work together to control decision-making and weigh risk and reward. One tracks negative outcomes, and the other tracks positive ones.</w:t>
      </w:r>
      <w:r w:rsidDel="00000000" w:rsidR="00000000" w:rsidRPr="00000000">
        <w:rPr>
          <w:rFonts w:ascii="Times New Roman" w:cs="Times New Roman" w:eastAsia="Times New Roman" w:hAnsi="Times New Roman"/>
          <w:sz w:val="24"/>
          <w:szCs w:val="24"/>
          <w:vertAlign w:val="superscript"/>
        </w:rPr>
        <w:footnoteReference w:customMarkFollows="0" w:id="6"/>
      </w:r>
      <w:r w:rsidDel="00000000" w:rsidR="00000000" w:rsidRPr="00000000">
        <w:rPr>
          <w:rFonts w:ascii="Times New Roman" w:cs="Times New Roman" w:eastAsia="Times New Roman" w:hAnsi="Times New Roman"/>
          <w:sz w:val="24"/>
          <w:szCs w:val="24"/>
          <w:rtl w:val="0"/>
        </w:rPr>
        <w:t xml:space="preserve"> When the establishment owners behind the fires made the decisions, they unknowingly had an overconfidence bias. It is when a person overestimates their ability to predict a certain outcome in a situation, which can often lead to poor decisions being made as a result, whether the person behind them is aware of it or not. </w:t>
      </w:r>
    </w:p>
    <w:p w:rsidR="00000000" w:rsidDel="00000000" w:rsidP="00000000" w:rsidRDefault="00000000" w:rsidRPr="00000000" w14:paraId="0000000F">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Triangle Shirtwaist Fire, which took place on March 25, 1911, in New York City,  and killed 146 of its workers, who were also majority immigrants, is another tragic fire that occurred due to the establishment owners’ decisions made out of greed and blind overconfidence bias.</w:t>
      </w:r>
      <w:r w:rsidDel="00000000" w:rsidR="00000000" w:rsidRPr="00000000">
        <w:rPr>
          <w:rFonts w:ascii="Times New Roman" w:cs="Times New Roman" w:eastAsia="Times New Roman" w:hAnsi="Times New Roman"/>
          <w:sz w:val="24"/>
          <w:szCs w:val="24"/>
          <w:vertAlign w:val="superscript"/>
        </w:rPr>
        <w:footnoteReference w:customMarkFollows="0" w:id="7"/>
      </w:r>
      <w:r w:rsidDel="00000000" w:rsidR="00000000" w:rsidRPr="00000000">
        <w:rPr>
          <w:rFonts w:ascii="Times New Roman" w:cs="Times New Roman" w:eastAsia="Times New Roman" w:hAnsi="Times New Roman"/>
          <w:sz w:val="24"/>
          <w:szCs w:val="24"/>
          <w:rtl w:val="0"/>
        </w:rPr>
        <w:t xml:space="preserve"> The Triangle Fire’s owners, Max Blanck and Isaac Harris, had strict rules in their establishment that kept the victims trapped inside for financial gain. If people left, it meant the owners lost money in one way or another. Both the Iroquois Theater and the Triangle Shirtwaist Factory had a lack of fire safety measures, such as usable fire escapes, sprinklers, and outward swinging doors. The disasters garnered major attention from newspapers, citizens, and lawmakers, which resulted in changes in fire safety laws and countermeasures. </w:t>
      </w:r>
    </w:p>
    <w:p w:rsidR="00000000" w:rsidDel="00000000" w:rsidP="00000000" w:rsidRDefault="00000000" w:rsidRPr="00000000" w14:paraId="00000010">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key difference between the two fires is that the Triangle Shirtwaist Fire resulted in manslaughter charges being filed against the owners, in contrast to the Iroquois Theater Fire not even resulting in a fine against a person as a result of the disaster. Responsibility does not just fall on the owners behind the establishments, though. Although the decisions made by them were careless and were one of the main causes behind the fires, there was still a lack of fire safety in the United States for many years before and after the Iroquois Theater Fire and the Triangle Shirtwaist Fire. Fire safety has been in a constant state of growth since the beginning of the nation. </w:t>
      </w:r>
    </w:p>
    <w:p w:rsidR="00000000" w:rsidDel="00000000" w:rsidP="00000000" w:rsidRDefault="00000000" w:rsidRPr="00000000" w14:paraId="00000011">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Taking Responsibility is an integral part of being Human. Responsibility, however, is a heavy burden to carry. Especially in disasters such as the Triangle Shirtwaist Fire and the Iroquois Theater Fire in the early Twentieth century. Many fires were attributed to arson when authorities couldn’t locate suspects, leaving many disastrous fires without an identified assailant if there wasn’t a directly identified cause. </w:t>
      </w:r>
    </w:p>
    <w:p w:rsidR="00000000" w:rsidDel="00000000" w:rsidP="00000000" w:rsidRDefault="00000000" w:rsidRPr="00000000" w14:paraId="00000012">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Every person's brain is wired differently, causing people to process emotions such as guilt and shame differently. Some people are drawn to more high-risk and high-reward, while others prefer to stay within their comfort zones. People such as Entrepreneurs and Business owners tend to show a higher interest in the positive reinforcement behind rewards. In the case of the Iroquois Theater Fire, owners William J. Davis and Henry J. Powers experienced a huge financial loss before the fire itself. Furthering their drive to regain what they have lost. In addition to the high cost of the theater, the overall production process was delayed and adding to the pressure that was already present on the premises. </w:t>
      </w:r>
    </w:p>
    <w:p w:rsidR="00000000" w:rsidDel="00000000" w:rsidP="00000000" w:rsidRDefault="00000000" w:rsidRPr="00000000" w14:paraId="00000013">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aftermath of the Iroquois Theater Fire, there was not a singular person charged. The owners denied responsibility and blamed the lack of sprinkler systems, among other excuses, to further absolve themselves of any responsibility. The theater was an absolute failure in both the business and fire safety aspects. The decisions that were made in the sake of the establishment's preservation were its own downfall. Sacrificing safety in order to secure as much financial compensation as possible has been a constant theme in the Iroquois Theater and other establishments like it, and the Triangle Shirtwaist Factory. Even though the establishments blindly practicing overconfidence bias and bypassing regulations were one of the main causes behind the fires, the heavy weight of responsibility fell not only on the owners of the establishment, but the United States’ own fire safety regulations and counter measures. Making the responsibility aspect behind these fires a multidimensional topic.</w:t>
      </w:r>
    </w:p>
    <w:p w:rsidR="00000000" w:rsidDel="00000000" w:rsidP="00000000" w:rsidRDefault="00000000" w:rsidRPr="00000000" w14:paraId="00000014">
      <w:pPr>
        <w:spacing w:line="48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48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line="48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line="48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line="48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line="48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line="48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line="480" w:lineRule="auto"/>
        <w:ind w:left="5040" w:firstLine="72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I pledge,</w:t>
      </w:r>
    </w:p>
    <w:p w:rsidR="00000000" w:rsidDel="00000000" w:rsidP="00000000" w:rsidRDefault="00000000" w:rsidRPr="00000000" w14:paraId="0000001C">
      <w:pPr>
        <w:spacing w:line="480" w:lineRule="auto"/>
        <w:ind w:left="5040" w:firstLine="72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 Katalina Dave</w:t>
      </w:r>
    </w:p>
    <w:p w:rsidR="00000000" w:rsidDel="00000000" w:rsidP="00000000" w:rsidRDefault="00000000" w:rsidRPr="00000000" w14:paraId="0000001D">
      <w:pPr>
        <w:spacing w:line="48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line="48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line="480" w:lineRule="auto"/>
        <w:ind w:left="3600" w:firstLine="72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Bibliography</w:t>
      </w:r>
    </w:p>
    <w:p w:rsidR="00000000" w:rsidDel="00000000" w:rsidP="00000000" w:rsidRDefault="00000000" w:rsidRPr="00000000" w14:paraId="00000025">
      <w:pPr>
        <w:spacing w:line="480" w:lineRule="auto"/>
        <w:ind w:left="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Argersinger, Jo Ann E. </w:t>
      </w:r>
      <w:r w:rsidDel="00000000" w:rsidR="00000000" w:rsidRPr="00000000">
        <w:rPr>
          <w:rFonts w:ascii="Times New Roman" w:cs="Times New Roman" w:eastAsia="Times New Roman" w:hAnsi="Times New Roman"/>
          <w:i w:val="1"/>
          <w:iCs w:val="1"/>
          <w:sz w:val="24"/>
          <w:szCs w:val="24"/>
          <w:highlight w:val="white"/>
          <w:rtl w:val="0"/>
        </w:rPr>
        <w:t xml:space="preserve">The Triangle Fire: A Brief History with Documents</w:t>
      </w:r>
      <w:r w:rsidDel="00000000" w:rsidR="00000000" w:rsidRPr="00000000">
        <w:rPr>
          <w:rFonts w:ascii="Times New Roman" w:cs="Times New Roman" w:eastAsia="Times New Roman" w:hAnsi="Times New Roman"/>
          <w:sz w:val="24"/>
          <w:szCs w:val="24"/>
          <w:highlight w:val="white"/>
          <w:rtl w:val="0"/>
        </w:rPr>
        <w:t xml:space="preserve">. Bedford/St. Martin’s 2009.</w:t>
      </w:r>
    </w:p>
    <w:p w:rsidR="00000000" w:rsidDel="00000000" w:rsidP="00000000" w:rsidRDefault="00000000" w:rsidRPr="00000000" w14:paraId="00000026">
      <w:pPr>
        <w:spacing w:line="480" w:lineRule="auto"/>
        <w:ind w:left="720" w:hanging="720"/>
        <w:rPr>
          <w:rFonts w:ascii="Times New Roman" w:cs="Times New Roman" w:eastAsia="Times New Roman" w:hAnsi="Times New Roman"/>
          <w:sz w:val="24"/>
          <w:szCs w:val="24"/>
        </w:rPr>
      </w:pPr>
      <w:r w:rsidDel="00000000" w:rsidR="00000000" w:rsidRPr="00000000">
        <w:rPr>
          <w:rtl w:val="0"/>
        </w:rPr>
        <w:t xml:space="preserve">Brandt, Nat. 2006. </w:t>
      </w:r>
      <w:r w:rsidDel="00000000" w:rsidR="00000000" w:rsidRPr="00000000">
        <w:rPr>
          <w:i w:val="1"/>
          <w:iCs w:val="1"/>
          <w:rtl w:val="0"/>
        </w:rPr>
        <w:t xml:space="preserve">Chicago Death Trap: The Iroquois Theatre Fire of 1903</w:t>
      </w:r>
      <w:r w:rsidDel="00000000" w:rsidR="00000000" w:rsidRPr="00000000">
        <w:rPr>
          <w:rtl w:val="0"/>
        </w:rPr>
        <w:t xml:space="preserve">. N.p: Southern Illinois University Press.</w:t>
      </w:r>
      <w:r w:rsidDel="00000000" w:rsidR="00000000" w:rsidRPr="00000000">
        <w:rPr>
          <w:rtl w:val="0"/>
        </w:rPr>
      </w:r>
    </w:p>
    <w:p w:rsidR="00000000" w:rsidDel="00000000" w:rsidP="00000000" w:rsidRDefault="00000000" w:rsidRPr="00000000" w14:paraId="00000027">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ChicagoFD1, “Chicago Fire Dept.- Iroquois Theater Fire, posted February 18, 2015, by         </w:t>
      </w:r>
    </w:p>
    <w:p w:rsidR="00000000" w:rsidDel="00000000" w:rsidP="00000000" w:rsidRDefault="00000000" w:rsidRPr="00000000" w14:paraId="00000028">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ChicagoFD1, YouTube, 10:51, </w:t>
      </w:r>
      <w:r w:rsidDel="00000000" w:rsidR="00000000" w:rsidRPr="00000000">
        <w:rPr>
          <w:rFonts w:ascii="Times New Roman" w:cs="Times New Roman" w:eastAsia="Times New Roman" w:hAnsi="Times New Roman"/>
          <w:sz w:val="24"/>
          <w:szCs w:val="24"/>
          <w:rtl w:val="0"/>
        </w:rPr>
        <w:t xml:space="preserve">https://www.youtube.com/watch?v=spzAGnNwaUg</w:t>
      </w:r>
    </w:p>
    <w:p w:rsidR="00000000" w:rsidDel="00000000" w:rsidP="00000000" w:rsidRDefault="00000000" w:rsidRPr="00000000" w14:paraId="00000029">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“Chicago in the 1890’s.” The Univerisity of Chicago Library. Accessed November 9, 2025 https://www.lib.uchicago.edu/e/collections/maps/chi189.</w:t>
      </w:r>
      <w:r w:rsidDel="00000000" w:rsidR="00000000" w:rsidRPr="00000000">
        <w:rPr>
          <w:rtl w:val="0"/>
        </w:rPr>
      </w:r>
    </w:p>
    <w:p w:rsidR="00000000" w:rsidDel="00000000" w:rsidP="00000000" w:rsidRDefault="00000000" w:rsidRPr="00000000" w14:paraId="0000002A">
      <w:pPr>
        <w:spacing w:line="480" w:lineRule="auto"/>
        <w:ind w:left="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Caruso, Catherine. “How the Brain Balances Risk and Reward in Making Decisions.” </w:t>
      </w:r>
      <w:r w:rsidDel="00000000" w:rsidR="00000000" w:rsidRPr="00000000">
        <w:rPr>
          <w:rFonts w:ascii="Times New Roman" w:cs="Times New Roman" w:eastAsia="Times New Roman" w:hAnsi="Times New Roman"/>
          <w:i w:val="1"/>
          <w:iCs w:val="1"/>
          <w:sz w:val="24"/>
          <w:szCs w:val="24"/>
          <w:highlight w:val="white"/>
          <w:rtl w:val="0"/>
        </w:rPr>
        <w:t xml:space="preserve">Harvard Medical School, </w:t>
      </w:r>
      <w:r w:rsidDel="00000000" w:rsidR="00000000" w:rsidRPr="00000000">
        <w:rPr>
          <w:rFonts w:ascii="Times New Roman" w:cs="Times New Roman" w:eastAsia="Times New Roman" w:hAnsi="Times New Roman"/>
          <w:sz w:val="24"/>
          <w:szCs w:val="24"/>
          <w:highlight w:val="white"/>
          <w:rtl w:val="0"/>
        </w:rPr>
        <w:t xml:space="preserve">February 19, 2025, https://hms.harvard.edu/news/how-brain-balances-risk-reward-making-decisions.</w:t>
      </w:r>
    </w:p>
    <w:p w:rsidR="00000000" w:rsidDel="00000000" w:rsidP="00000000" w:rsidRDefault="00000000" w:rsidRPr="00000000" w14:paraId="0000002B">
      <w:pPr>
        <w:spacing w:line="480" w:lineRule="auto"/>
        <w:ind w:left="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Hayes, A. M. (1999). </w:t>
      </w:r>
      <w:r w:rsidDel="00000000" w:rsidR="00000000" w:rsidRPr="00000000">
        <w:rPr>
          <w:rFonts w:ascii="Times New Roman" w:cs="Times New Roman" w:eastAsia="Times New Roman" w:hAnsi="Times New Roman"/>
          <w:i w:val="1"/>
          <w:iCs w:val="1"/>
          <w:sz w:val="24"/>
          <w:szCs w:val="24"/>
          <w:highlight w:val="white"/>
          <w:rtl w:val="0"/>
        </w:rPr>
        <w:t xml:space="preserve">The Iroquois Theatre Fire: Chicago's Other Great Fire </w:t>
      </w:r>
      <w:r w:rsidDel="00000000" w:rsidR="00000000" w:rsidRPr="00000000">
        <w:rPr>
          <w:rFonts w:ascii="Times New Roman" w:cs="Times New Roman" w:eastAsia="Times New Roman" w:hAnsi="Times New Roman"/>
          <w:sz w:val="24"/>
          <w:szCs w:val="24"/>
          <w:highlight w:val="white"/>
          <w:rtl w:val="0"/>
        </w:rPr>
        <w:t xml:space="preserve">(Order No.</w:t>
      </w:r>
    </w:p>
    <w:p w:rsidR="00000000" w:rsidDel="00000000" w:rsidP="00000000" w:rsidRDefault="00000000" w:rsidRPr="00000000" w14:paraId="0000002C">
      <w:pPr>
        <w:spacing w:line="480" w:lineRule="auto"/>
        <w:ind w:left="72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9951294). Available from ProQuest Dissertations &amp; Theses Global. (304511851). </w:t>
      </w:r>
      <w:r w:rsidDel="00000000" w:rsidR="00000000" w:rsidRPr="00000000">
        <w:rPr>
          <w:rFonts w:ascii="Times New Roman" w:cs="Times New Roman" w:eastAsia="Times New Roman" w:hAnsi="Times New Roman"/>
          <w:sz w:val="24"/>
          <w:szCs w:val="24"/>
          <w:highlight w:val="white"/>
          <w:rtl w:val="0"/>
        </w:rPr>
        <w:t xml:space="preserve">https://umw.idm.oclc.org/login?url=https://www.proquest.com/dissertations-theses/iroquois-theatre-fire-chicagos-other-great/docview/304511851/se-2</w:t>
      </w:r>
    </w:p>
    <w:p w:rsidR="00000000" w:rsidDel="00000000" w:rsidP="00000000" w:rsidRDefault="00000000" w:rsidRPr="00000000" w14:paraId="0000002D">
      <w:pPr>
        <w:spacing w:line="480" w:lineRule="auto"/>
        <w:ind w:left="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Leonhardt, James M., L. Robin Keller, and Cornelia Pechmann. “Avoiding the Risk of </w:t>
      </w:r>
    </w:p>
    <w:p w:rsidR="00000000" w:rsidDel="00000000" w:rsidP="00000000" w:rsidRDefault="00000000" w:rsidRPr="00000000" w14:paraId="0000002E">
      <w:pPr>
        <w:spacing w:line="480" w:lineRule="auto"/>
        <w:ind w:left="72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Responsibility by Seeking Uncertainty: Responsibility Aversion and Preference for   Indirect Agency When Choosing for Others.” </w:t>
      </w:r>
      <w:r w:rsidDel="00000000" w:rsidR="00000000" w:rsidRPr="00000000">
        <w:rPr>
          <w:rFonts w:ascii="Times New Roman" w:cs="Times New Roman" w:eastAsia="Times New Roman" w:hAnsi="Times New Roman"/>
          <w:i w:val="1"/>
          <w:iCs w:val="1"/>
          <w:sz w:val="24"/>
          <w:szCs w:val="24"/>
          <w:highlight w:val="white"/>
          <w:rtl w:val="0"/>
        </w:rPr>
        <w:t xml:space="preserve">Journal of Consumer Psychology</w:t>
      </w:r>
      <w:r w:rsidDel="00000000" w:rsidR="00000000" w:rsidRPr="00000000">
        <w:rPr>
          <w:rFonts w:ascii="Times New Roman" w:cs="Times New Roman" w:eastAsia="Times New Roman" w:hAnsi="Times New Roman"/>
          <w:sz w:val="24"/>
          <w:szCs w:val="24"/>
          <w:highlight w:val="white"/>
          <w:rtl w:val="0"/>
        </w:rPr>
        <w:t xml:space="preserve"> 21, no. 4 (2011): 405–13. </w:t>
      </w:r>
      <w:hyperlink r:id="rId8">
        <w:r w:rsidDel="00000000" w:rsidR="00000000" w:rsidRPr="00000000">
          <w:rPr>
            <w:rFonts w:ascii="Times New Roman" w:cs="Times New Roman" w:eastAsia="Times New Roman" w:hAnsi="Times New Roman"/>
            <w:color w:val="1155cc"/>
            <w:sz w:val="24"/>
            <w:szCs w:val="24"/>
            <w:highlight w:val="white"/>
            <w:u w:val="single"/>
            <w:rtl w:val="0"/>
          </w:rPr>
          <w:t xml:space="preserve">http://www.jstor.org/stable/23049311</w:t>
        </w:r>
      </w:hyperlink>
      <w:r w:rsidDel="00000000" w:rsidR="00000000" w:rsidRPr="00000000">
        <w:rPr>
          <w:rFonts w:ascii="Times New Roman" w:cs="Times New Roman" w:eastAsia="Times New Roman" w:hAnsi="Times New Roman"/>
          <w:sz w:val="24"/>
          <w:szCs w:val="24"/>
          <w:highlight w:val="white"/>
          <w:rtl w:val="0"/>
        </w:rPr>
        <w:t xml:space="preserve">.</w:t>
      </w:r>
    </w:p>
    <w:p w:rsidR="00000000" w:rsidDel="00000000" w:rsidP="00000000" w:rsidRDefault="00000000" w:rsidRPr="00000000" w14:paraId="0000002F">
      <w:pPr>
        <w:spacing w:line="480" w:lineRule="auto"/>
        <w:ind w:left="720"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30">
      <w:pPr>
        <w:spacing w:line="480" w:lineRule="auto"/>
        <w:ind w:left="720"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31">
      <w:pPr>
        <w:spacing w:line="480" w:lineRule="auto"/>
        <w:ind w:left="720"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32">
      <w:pPr>
        <w:spacing w:line="480" w:lineRule="auto"/>
        <w:ind w:left="0"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33">
      <w:pPr>
        <w:spacing w:line="480" w:lineRule="auto"/>
        <w:ind w:left="720"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34">
      <w:pPr>
        <w:spacing w:line="480" w:lineRule="auto"/>
        <w:ind w:left="720"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35">
      <w:pPr>
        <w:spacing w:line="480" w:lineRule="auto"/>
        <w:ind w:left="720"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36">
      <w:pPr>
        <w:spacing w:line="480" w:lineRule="auto"/>
        <w:ind w:left="720"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37">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line="480" w:lineRule="auto"/>
        <w:ind w:left="5040" w:firstLine="720"/>
        <w:rPr>
          <w:rFonts w:ascii="Times New Roman" w:cs="Times New Roman" w:eastAsia="Times New Roman" w:hAnsi="Times New Roman"/>
          <w:i w:val="1"/>
          <w:iCs w:val="1"/>
          <w:sz w:val="24"/>
          <w:szCs w:val="24"/>
        </w:rPr>
      </w:pPr>
      <w:r w:rsidDel="00000000" w:rsidR="00000000" w:rsidRPr="00000000">
        <w:rPr>
          <w:rtl w:val="0"/>
        </w:rPr>
      </w:r>
    </w:p>
    <w:sectPr>
      <w:headerReference r:id="rId9" w:type="default"/>
      <w:pgSz w:h="15840" w:w="12240"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Clarisa Johnson" w:id="1" w:date="2025-11-10T16:44:24Z">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what were the delays?</w:t>
      </w:r>
    </w:p>
  </w:comment>
  <w:comment w:author="Clarisa Johnson" w:id="0" w:date="2025-11-10T16:42:54Z">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maybe explain the fault construction</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3B">
      <w:pPr>
        <w:spacing w:line="240" w:lineRule="auto"/>
        <w:rPr>
          <w:rFonts w:ascii="Times New Roman" w:cs="Times New Roman" w:eastAsia="Times New Roman" w:hAnsi="Times New Roman"/>
          <w:sz w:val="24"/>
          <w:szCs w:val="24"/>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4"/>
          <w:szCs w:val="24"/>
          <w:rtl w:val="0"/>
        </w:rPr>
        <w:t xml:space="preserve"> Nat Brandt, Chicago Death Trap: The Iroqouis Theater Fire Of 1903</w:t>
      </w:r>
    </w:p>
  </w:footnote>
  <w:footnote w:id="2">
    <w:p w:rsidR="00000000" w:rsidDel="00000000" w:rsidP="00000000" w:rsidRDefault="00000000" w:rsidRPr="00000000" w14:paraId="0000003C">
      <w:pPr>
        <w:spacing w:line="240" w:lineRule="auto"/>
        <w:rPr>
          <w:rFonts w:ascii="Times New Roman" w:cs="Times New Roman" w:eastAsia="Times New Roman" w:hAnsi="Times New Roman"/>
          <w:sz w:val="24"/>
          <w:szCs w:val="24"/>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4"/>
          <w:szCs w:val="24"/>
          <w:rtl w:val="0"/>
        </w:rPr>
        <w:t xml:space="preserve">The Iroquis Theatre Fire: Chicago’s Other Great Fire</w:t>
      </w:r>
    </w:p>
  </w:footnote>
  <w:footnote w:id="3">
    <w:p w:rsidR="00000000" w:rsidDel="00000000" w:rsidP="00000000" w:rsidRDefault="00000000" w:rsidRPr="00000000" w14:paraId="0000003D">
      <w:pPr>
        <w:spacing w:line="240" w:lineRule="auto"/>
        <w:rPr>
          <w:rFonts w:ascii="Times New Roman" w:cs="Times New Roman" w:eastAsia="Times New Roman" w:hAnsi="Times New Roman"/>
          <w:sz w:val="24"/>
          <w:szCs w:val="24"/>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4"/>
          <w:szCs w:val="24"/>
          <w:rtl w:val="0"/>
        </w:rPr>
        <w:t xml:space="preserve">Avoiding the risk of responsibility by seeking uncertainty: Responsibility aversion and preference for indirect agency when choosing for others </w:t>
      </w:r>
    </w:p>
  </w:footnote>
  <w:footnote w:id="4">
    <w:p w:rsidR="00000000" w:rsidDel="00000000" w:rsidP="00000000" w:rsidRDefault="00000000" w:rsidRPr="00000000" w14:paraId="0000003E">
      <w:pPr>
        <w:spacing w:line="240" w:lineRule="auto"/>
        <w:rPr>
          <w:rFonts w:ascii="Times New Roman" w:cs="Times New Roman" w:eastAsia="Times New Roman" w:hAnsi="Times New Roman"/>
          <w:sz w:val="24"/>
          <w:szCs w:val="24"/>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4"/>
          <w:szCs w:val="24"/>
          <w:rtl w:val="0"/>
        </w:rPr>
        <w:t xml:space="preserve">The Triangle Fire: A Brief History with Documents</w:t>
      </w:r>
    </w:p>
  </w:footnote>
  <w:footnote w:id="5">
    <w:p w:rsidR="00000000" w:rsidDel="00000000" w:rsidP="00000000" w:rsidRDefault="00000000" w:rsidRPr="00000000" w14:paraId="0000003F">
      <w:pPr>
        <w:spacing w:line="240" w:lineRule="auto"/>
        <w:rPr>
          <w:rFonts w:ascii="Times New Roman" w:cs="Times New Roman" w:eastAsia="Times New Roman" w:hAnsi="Times New Roman"/>
          <w:sz w:val="24"/>
          <w:szCs w:val="24"/>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4"/>
          <w:szCs w:val="24"/>
          <w:rtl w:val="0"/>
        </w:rPr>
        <w:t xml:space="preserve">Chicago Fire Dept.- Iroquois Theater Fire, YouTube</w:t>
      </w:r>
    </w:p>
  </w:footnote>
  <w:footnote w:id="6">
    <w:p w:rsidR="00000000" w:rsidDel="00000000" w:rsidP="00000000" w:rsidRDefault="00000000" w:rsidRPr="00000000" w14:paraId="00000040">
      <w:pPr>
        <w:spacing w:line="240" w:lineRule="auto"/>
        <w:rPr>
          <w:rFonts w:ascii="Times New Roman" w:cs="Times New Roman" w:eastAsia="Times New Roman" w:hAnsi="Times New Roman"/>
          <w:i w:val="1"/>
          <w:iCs w:val="1"/>
          <w:sz w:val="24"/>
          <w:szCs w:val="24"/>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4"/>
          <w:szCs w:val="24"/>
          <w:rtl w:val="0"/>
        </w:rPr>
        <w:t xml:space="preserve">Remembering The 1911 Triangle Factory Fire. </w:t>
      </w:r>
      <w:r w:rsidDel="00000000" w:rsidR="00000000" w:rsidRPr="00000000">
        <w:rPr>
          <w:rFonts w:ascii="Times New Roman" w:cs="Times New Roman" w:eastAsia="Times New Roman" w:hAnsi="Times New Roman"/>
          <w:i w:val="1"/>
          <w:iCs w:val="1"/>
          <w:sz w:val="24"/>
          <w:szCs w:val="24"/>
          <w:rtl w:val="0"/>
        </w:rPr>
        <w:t xml:space="preserve">Investigation &amp; Trial, Cornell University  </w:t>
      </w:r>
    </w:p>
  </w:footnote>
  <w:footnote w:id="7">
    <w:p w:rsidR="00000000" w:rsidDel="00000000" w:rsidP="00000000" w:rsidRDefault="00000000" w:rsidRPr="00000000" w14:paraId="00000041">
      <w:pPr>
        <w:spacing w:line="240" w:lineRule="auto"/>
        <w:rPr>
          <w:rFonts w:ascii="Times New Roman" w:cs="Times New Roman" w:eastAsia="Times New Roman" w:hAnsi="Times New Roman"/>
          <w:i w:val="1"/>
          <w:iCs w:val="1"/>
          <w:sz w:val="24"/>
          <w:szCs w:val="24"/>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4"/>
          <w:szCs w:val="24"/>
          <w:rtl w:val="0"/>
        </w:rPr>
        <w:t xml:space="preserve">Remembering The 1911 Triangle Factory Fire. </w:t>
      </w:r>
      <w:r w:rsidDel="00000000" w:rsidR="00000000" w:rsidRPr="00000000">
        <w:rPr>
          <w:rFonts w:ascii="Times New Roman" w:cs="Times New Roman" w:eastAsia="Times New Roman" w:hAnsi="Times New Roman"/>
          <w:i w:val="1"/>
          <w:iCs w:val="1"/>
          <w:sz w:val="24"/>
          <w:szCs w:val="24"/>
          <w:rtl w:val="0"/>
        </w:rPr>
        <w:t xml:space="preserve">Reports, Cornell University</w:t>
      </w:r>
    </w:p>
  </w:footnote>
  <w:footnote w:id="1">
    <w:p w:rsidR="00000000" w:rsidDel="00000000" w:rsidP="00000000" w:rsidRDefault="00000000" w:rsidRPr="00000000" w14:paraId="00000042">
      <w:pPr>
        <w:spacing w:line="240" w:lineRule="auto"/>
        <w:rPr>
          <w:rFonts w:ascii="Times New Roman" w:cs="Times New Roman" w:eastAsia="Times New Roman" w:hAnsi="Times New Roman"/>
          <w:sz w:val="24"/>
          <w:szCs w:val="24"/>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4"/>
          <w:szCs w:val="24"/>
          <w:rtl w:val="0"/>
        </w:rPr>
        <w:t xml:space="preserve">“Chicago in the 1890’s,” </w:t>
      </w:r>
      <w:r w:rsidDel="00000000" w:rsidR="00000000" w:rsidRPr="00000000">
        <w:rPr>
          <w:rFonts w:ascii="Times New Roman" w:cs="Times New Roman" w:eastAsia="Times New Roman" w:hAnsi="Times New Roman"/>
          <w:i w:val="1"/>
          <w:iCs w:val="1"/>
          <w:sz w:val="24"/>
          <w:szCs w:val="24"/>
          <w:rtl w:val="0"/>
        </w:rPr>
        <w:t xml:space="preserve">The Univerisity of Chicago Library</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Accessed November 9, 2025, https://www.lib.uchicago.edu/e/collections/maps/chi189.</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eader" Target="header1.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styles" Target="styles.xml"/><Relationship Id="rId8" Type="http://schemas.openxmlformats.org/officeDocument/2006/relationships/hyperlink" Target="http://www.jstor.org/stable/230493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