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Katalina Dave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Ferrell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December 2025</w:t>
      </w:r>
      <w:r w:rsidDel="00000000" w:rsidR="00000000" w:rsidRPr="00000000">
        <w:rPr>
          <w:rtl w:val="0"/>
        </w:rPr>
      </w:r>
    </w:p>
    <w:p w:rsidR="00000000" w:rsidDel="00000000" w:rsidP="00000000" w:rsidRDefault="00000000" w:rsidRPr="00000000" w14:paraId="00000004">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Katalina Dave- Responsibility in the Chicago Iroquois Theater Fire</w:t>
      </w:r>
    </w:p>
    <w:p w:rsidR="00000000" w:rsidDel="00000000" w:rsidP="00000000" w:rsidRDefault="00000000" w:rsidRPr="00000000" w14:paraId="00000005">
      <w:pPr>
        <w:spacing w:line="480" w:lineRule="auto"/>
        <w:ind w:left="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 common misconception is that the owners of establishments destroyed by fires are corrupt and intentionally made the terrible decision that caused harm to the victims of the fire. While in reality, the owners were mostly not even thinking about a disaster occurring in response to their actions. They focus on what their audience will spend their time and money on, skipping over safety measures in the process. There were significantly less fire safety regulation laws in the twentieth century, and a lack of proper enforcement of them, which businesses took advantage of in order to keep their establishments open, causing them to bear the weight of responsibility in response to their actions. </w:t>
      </w:r>
      <w:r w:rsidDel="00000000" w:rsidR="00000000" w:rsidRPr="00000000">
        <w:rPr>
          <w:rFonts w:ascii="Times New Roman" w:cs="Times New Roman" w:eastAsia="Times New Roman" w:hAnsi="Times New Roman"/>
          <w:sz w:val="24"/>
          <w:szCs w:val="24"/>
          <w:highlight w:val="yellow"/>
          <w:rtl w:val="0"/>
        </w:rPr>
        <w:t xml:space="preserve">Establishments blindly practiced overconfidence bias and bypassed regulations, which was one of the main causes behind the fires; the heavy weight of responsibility fell not only on the owners of the establishment, but the local government's own fire safety regulations and countermeasures, making the responsibility for these fires a predominant issue.</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fires during the twentieth century followed a common theme of a lack of knowledge and enforcement of fire safety measures and inspections. One example is Chicago. Theaters in Chicago were no exception; they were </w:t>
      </w:r>
      <w:r w:rsidDel="00000000" w:rsidR="00000000" w:rsidRPr="00000000">
        <w:rPr>
          <w:rFonts w:ascii="Times New Roman" w:cs="Times New Roman" w:eastAsia="Times New Roman" w:hAnsi="Times New Roman"/>
          <w:sz w:val="24"/>
          <w:szCs w:val="24"/>
          <w:rtl w:val="0"/>
        </w:rPr>
        <w:t xml:space="preserve">built in haste, poorly maintained, and often opened before construction was complete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people were deterred by the alarming sight of theaters burning and being rebuilt quickly. However, the deterrence was short-lived, as theaters were always rebuilt within a few short months of fires as if nothing had happened.</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For Chicago’s Iroquois Theater Fire, it was a case of the owners gambling with safety regulations and carrying the weight of responsibility as a result. These gambles led to dangers such as faulty electrical wiring, flammable decorations, flawed building infrastructure, and even exits being deliberately blocked, causing hundreds of deaths.</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owners of the Iroquois Theater prioritized the profit their establishments garnered for their careers. Their ability to stay open depended on location, hours, production, and the general appeal to audiences. The Iroquois Theater resided in Chicago, a bustling city that had a population of nearly 1.7 million during the beginning of the twentieth century.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Not only did Chicago welcome immigrants from all over Europe, but it was, and still is, one of the prime locations of theater productions in the United States. Chicago garnered a large and diverse demographic of people who benefited businesses and earned the title of a “world city.”</w:t>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 December 30, 1903,  the Chicago Iroquois Theater opened its doors to two thousand people.</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This was a group of predominantly women and children</w:t>
      </w:r>
      <w:r w:rsidDel="00000000" w:rsidR="00000000" w:rsidRPr="00000000">
        <w:rPr>
          <w:rFonts w:ascii="Times New Roman" w:cs="Times New Roman" w:eastAsia="Times New Roman" w:hAnsi="Times New Roman"/>
          <w:sz w:val="24"/>
          <w:szCs w:val="24"/>
          <w:vertAlign w:val="superscript"/>
        </w:rPr>
        <w:footnoteReference w:customMarkFollows="0" w:id="4"/>
      </w:r>
      <w:commentRangeStart w:id="0"/>
      <w:r w:rsidDel="00000000" w:rsidR="00000000" w:rsidRPr="00000000">
        <w:rPr>
          <w:rFonts w:ascii="Times New Roman" w:cs="Times New Roman" w:eastAsia="Times New Roman" w:hAnsi="Times New Roman"/>
          <w:sz w:val="24"/>
          <w:szCs w:val="24"/>
          <w:rtl w:val="0"/>
        </w:rPr>
        <w:t xml:space="preserve"> </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looking to sit back and relax while watching the show, </w:t>
      </w:r>
      <w:r w:rsidDel="00000000" w:rsidR="00000000" w:rsidRPr="00000000">
        <w:rPr>
          <w:rFonts w:ascii="Times New Roman" w:cs="Times New Roman" w:eastAsia="Times New Roman" w:hAnsi="Times New Roman"/>
          <w:i w:val="1"/>
          <w:iCs w:val="1"/>
          <w:sz w:val="24"/>
          <w:szCs w:val="24"/>
          <w:rtl w:val="0"/>
        </w:rPr>
        <w:t xml:space="preserve">Mr. Bluebeard, </w:t>
      </w:r>
      <w:r w:rsidDel="00000000" w:rsidR="00000000" w:rsidRPr="00000000">
        <w:rPr>
          <w:rFonts w:ascii="Times New Roman" w:cs="Times New Roman" w:eastAsia="Times New Roman" w:hAnsi="Times New Roman"/>
          <w:sz w:val="24"/>
          <w:szCs w:val="24"/>
          <w:rtl w:val="0"/>
        </w:rPr>
        <w:t xml:space="preserve">a sold-out matinee performance. Not only had the play been successful in numerous theaters around the country, but the theater where the show was held was advertised as “Absolutely fireproof.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That sort of advertisement, in light of the Great Chicago Fire in 1871, was a step forward in the right direction for Chicago’s citizens. The owners, William J. Davis and Henry J. Powers, were well-known names in the theater industry and hired Benjamin H. Marshall, a talented architect with extravagant taste, as the theater's architect.</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the Iroquois Theater's subcontract had included fireproofing details, the project itself had many </w:t>
      </w:r>
      <w:r w:rsidDel="00000000" w:rsidR="00000000" w:rsidRPr="00000000">
        <w:rPr>
          <w:rFonts w:ascii="Times New Roman" w:cs="Times New Roman" w:eastAsia="Times New Roman" w:hAnsi="Times New Roman"/>
          <w:sz w:val="24"/>
          <w:szCs w:val="24"/>
          <w:rtl w:val="0"/>
        </w:rPr>
        <w:t xml:space="preserve">delays. Delays</w:t>
      </w:r>
      <w:r w:rsidDel="00000000" w:rsidR="00000000" w:rsidRPr="00000000">
        <w:rPr>
          <w:rFonts w:ascii="Times New Roman" w:cs="Times New Roman" w:eastAsia="Times New Roman" w:hAnsi="Times New Roman"/>
          <w:sz w:val="24"/>
          <w:szCs w:val="24"/>
          <w:rtl w:val="0"/>
        </w:rPr>
        <w:t xml:space="preserve"> that were present during the blueprint phase caused the Theater to open past its original opening date, summer of 1903</w:t>
      </w:r>
      <w:commentRangeStart w:id="1"/>
      <w:r w:rsidDel="00000000" w:rsidR="00000000" w:rsidRPr="00000000">
        <w:rPr>
          <w:rFonts w:ascii="Times New Roman" w:cs="Times New Roman" w:eastAsia="Times New Roman" w:hAnsi="Times New Roman"/>
          <w:sz w:val="24"/>
          <w:szCs w:val="24"/>
          <w:rtl w:val="0"/>
        </w:rPr>
        <w:t xml:space="preserv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This caused the business to miss out on summer performances and the profits they bring, and created some tension between the architect and the owners. Davis and Powers pressured the Fuller company, the contractors behind the establishment, to finish the job so the theater could open in time for the holiday</w:t>
      </w:r>
      <w:commentRangeStart w:id="2"/>
      <w:r w:rsidDel="00000000" w:rsidR="00000000" w:rsidRPr="00000000">
        <w:rPr>
          <w:rFonts w:ascii="Times New Roman" w:cs="Times New Roman" w:eastAsia="Times New Roman" w:hAnsi="Times New Roman"/>
          <w:sz w:val="24"/>
          <w:szCs w:val="24"/>
          <w:rtl w:val="0"/>
        </w:rPr>
        <w:t xml:space="preserv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On opening night, the interior impressed all those who walked into it. With its large budget of an estimated 500,000 to one million dollars, the Iroquois Theater had delivered its promise of being “the most beautiful temple of dram</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the performance, the operator of the light on stage stepped away, and a sudden spark flashed, causing the asbestos curtain to burst into flames. Stage crew members tried to put out the fire, but to no avail; the fire spread rapidly due to the asbestos acting as fuel for the fire.</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In less than fifteen minutes, six hundred members of the audience died as a result of the fire. The theater goers struggled to exit and trampled over each other trying to get past the overcrowded aisles. The rising smoke had no means of an exit, causing a burst of flames to come down onto audience members. The inward-opening doors, blocked exits, and incomplete fire escapes caused exiting to be nearly impossible, in addition to the smoke blocking people's vision and rapidly decreasing oxygen levels.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Iroquois Theatre Fire caused outrage; citizens wondered how such a flawed establishment was allowed to open its doors and claim as many lives as it did. Not only did the theater lack automatic sprinklers, but it also lacked portable extinguishers.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Many accusations and charges were used against people, yet nobody wanted to claim responsibility for the fire. The Fire Chief, William Musham, ruled that the fire was as disastrous as it was due to the lack of sprinklers, with no mention of the other flaws present in fire safety measures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Nobody was jailed or even fined for the fire. The fire sparked a change in fire safety regulatory laws in America by allowing fire marshals to enter establishments without the possibility of refusal from establishment owners.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Responsibility for American fires, especially in twentieth-century fires, has a common theme of not being one-dimensional. Many disastrous fires are deliberately set to cause harm to civilians. However, the Iroquois Theater Fire is not a fire that is comparable to that. The Iroquois Theater ensured that nobody could sit somewhere they did not pay for and opened before construction was completed for the sake of money. Making it a situation that provides a high risk, with a potential high reward. William J. Davis and Henry J. Powers deliberately made decisions that risked the safety of the victims, yet the decisions were made out of negligence, not malice.</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Harvard study done in 2025 covered how the brain has two distinct neurons that work together to control decision-making and weigh risk and reward. One tracks negative outcomes, and the other tracks positive ones.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When the Iroquois’s owners made decisions, they unknowingly had an overconfidence bias, which is when a person overestimates their ability to predict a certain outcome in a situation, which can often lead to poor decisions being made as a result, whether the person behind them is aware of it or not.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to the Iroquois Theater Fire, the Triangle Shirtwaist Fire, which took place on March 25, 1911, in New York City, and killed 146 workers, who were mainly young female immigrants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is another tragic fire that occurred due to the establishment owners’ decisions made out of negligence and blind overconfidence bias. There was negligence present in the factory both before and after the fire. The Triangle Shirtwaist’s owners, Max Blanck and Isaac Harris, had strict rules in their establishment that kept the workers trapped inside for financial gain. If the workers left the workplace, it meant the owners lost money in one way or another. Both the Iroquois Theater and the Triangle Shirtwaist Factory had a lack of fire safety measures, such as usable fire escapes, sprinklers, outward swinging doors, and easily escapable exits. The disasters garnered major attention from newspapers, citizens, and lawmakers, which resulted in changes in fire safety laws and countermeasures.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difference between the two fires is that the Triangle Shirtwaist Fire resulted in manslaughter charges being filed against the owners, in contrast to the Iroquois Theater Fire not even having anyone being held responsible. Responsibility does not just fall on the owners of the establishments; it also falls on lawmakers, fire departments, and aware citizens. Although the decisions made by them were negligent and were one of the main causes of the fires becoming as disastrous as they were, there was still a lack of fire safety in the United States for many years before and after the Iroquois Theater Fire and the Triangle Shirtwaist Fire. Fire safety has been in a constant state of growth since the beginning of the nation. </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responsibility is an integral part of being human. Responsibility, however, is a heavy burden that nobody wants to carry. Especially in disasters such as the Triangle Shirtwaist Fire and the Iroquois Theater Fire in the early Twentieth century. Many fires were attributed to arson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when authorities could not locate suspects, leaving many disastrous fires without an identified assailant if there was not a directly identified cause.</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person's brain is wired differently, causing people to process emotions such as guilt and shame differently. Some people are drawn to more high-risk and high-reward, while others prefer to stay within their comfort zones.</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People such as entrepreneurs and business owners tend to show a higher interest in the positive reinforcement caused by rewards. In the case of the Iroquois Theater Fire, owners William J. Davis and Henry J. experienced a tremendous financial loss after the theater failed to open during the summer season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furthering their drive to regain what they had lost.</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In addition to the high cost of the theater, the overall production process was delayed and adding to the pressure that was already present on the premises.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aftermath of the Iroquois Theater Fire, the owners posted bail and got out of their sentences.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owners continuously denied responsibility and blamed the lack of sprinkler systems, among other excuses, to further absolve themselves of any responsibility</w:t>
      </w:r>
      <w:commentRangeStart w:id="3"/>
      <w:r w:rsidDel="00000000" w:rsidR="00000000" w:rsidRPr="00000000">
        <w:rPr>
          <w:rFonts w:ascii="Times New Roman" w:cs="Times New Roman" w:eastAsia="Times New Roman" w:hAnsi="Times New Roman"/>
          <w:sz w:val="24"/>
          <w:szCs w:val="24"/>
          <w:rtl w:val="0"/>
        </w:rPr>
        <w:t xml:space="preserve">.</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The theater was an absolute failure in both the business due to negligent management and fire safety aspects. The decisions that were made for the sake of the establishment's supposed success were its own downfall. Sacrificing safety in order to secure as much financial compensation as possible has been a constant theme for the Iroquois Theater and other establishments like it</w:t>
      </w:r>
      <w:commentRangeStart w:id="4"/>
      <w:r w:rsidDel="00000000" w:rsidR="00000000" w:rsidRPr="00000000">
        <w:rPr>
          <w:rFonts w:ascii="Times New Roman" w:cs="Times New Roman" w:eastAsia="Times New Roman" w:hAnsi="Times New Roman"/>
          <w:sz w:val="24"/>
          <w:szCs w:val="24"/>
          <w:rtl w:val="0"/>
        </w:rPr>
        <w:t xml:space="preserv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and the Triangle Shirtwaist Factory. Even though the establishments blindly practicing overconfidence bias and bypassing regulations were one of the main causes behind the fires, the heavy weight of responsibility fell not only on the owners of the establishment, but the local government's own fire safety regulations and countermeasures, making the responsibility for these fires a multidimensional topic that has left its mark on American history.</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hereby declare upon my word of honor that I have neither given nor received any unauthorized help on this work</w:t>
      </w:r>
    </w:p>
    <w:p w:rsidR="00000000" w:rsidDel="00000000" w:rsidP="00000000" w:rsidRDefault="00000000" w:rsidRPr="00000000" w14:paraId="00000016">
      <w:pPr>
        <w:spacing w:line="480" w:lineRule="auto"/>
        <w:ind w:left="504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Bibliography</w:t>
      </w:r>
      <w:r w:rsidDel="00000000" w:rsidR="00000000" w:rsidRPr="00000000">
        <w:rPr>
          <w:rtl w:val="0"/>
        </w:rPr>
      </w:r>
    </w:p>
    <w:p w:rsidR="00000000" w:rsidDel="00000000" w:rsidP="00000000" w:rsidRDefault="00000000" w:rsidRPr="00000000" w14:paraId="0000001B">
      <w:pPr>
        <w:spacing w:lin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Argersinger, Jo Ann E. </w:t>
      </w:r>
      <w:r w:rsidDel="00000000" w:rsidR="00000000" w:rsidRPr="00000000">
        <w:rPr>
          <w:rFonts w:ascii="Times New Roman" w:cs="Times New Roman" w:eastAsia="Times New Roman" w:hAnsi="Times New Roman"/>
          <w:i w:val="1"/>
          <w:iCs w:val="1"/>
          <w:sz w:val="24"/>
          <w:szCs w:val="24"/>
          <w:highlight w:val="white"/>
          <w:rtl w:val="0"/>
        </w:rPr>
        <w:t xml:space="preserve">The Triangle Fire: A Brief History with Documents</w:t>
      </w:r>
      <w:r w:rsidDel="00000000" w:rsidR="00000000" w:rsidRPr="00000000">
        <w:rPr>
          <w:rFonts w:ascii="Times New Roman" w:cs="Times New Roman" w:eastAsia="Times New Roman" w:hAnsi="Times New Roman"/>
          <w:sz w:val="24"/>
          <w:szCs w:val="24"/>
          <w:highlight w:val="white"/>
          <w:rtl w:val="0"/>
        </w:rPr>
        <w:t xml:space="preserve">. Bedford/St. Martin’s 2009.</w:t>
      </w:r>
    </w:p>
    <w:p w:rsidR="00000000" w:rsidDel="00000000" w:rsidP="00000000" w:rsidRDefault="00000000" w:rsidRPr="00000000" w14:paraId="0000001C">
      <w:pPr>
        <w:spacing w:line="240" w:lineRule="auto"/>
        <w:ind w:left="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 Brandt, </w:t>
      </w:r>
      <w:r w:rsidDel="00000000" w:rsidR="00000000" w:rsidRPr="00000000">
        <w:rPr>
          <w:rFonts w:ascii="Times New Roman" w:cs="Times New Roman" w:eastAsia="Times New Roman" w:hAnsi="Times New Roman"/>
          <w:i w:val="1"/>
          <w:iCs w:val="1"/>
          <w:sz w:val="24"/>
          <w:szCs w:val="24"/>
          <w:rtl w:val="0"/>
        </w:rPr>
        <w:t xml:space="preserve">Chicago Death Trap: The Iroquois Theatre Fire of 1903</w:t>
      </w:r>
      <w:r w:rsidDel="00000000" w:rsidR="00000000" w:rsidRPr="00000000">
        <w:rPr>
          <w:rFonts w:ascii="Times New Roman" w:cs="Times New Roman" w:eastAsia="Times New Roman" w:hAnsi="Times New Roman"/>
          <w:sz w:val="24"/>
          <w:szCs w:val="24"/>
          <w:rtl w:val="0"/>
        </w:rPr>
        <w:t xml:space="preserve">, N.p: Southern Illinois University Press, 2006.</w:t>
      </w:r>
      <w:r w:rsidDel="00000000" w:rsidR="00000000" w:rsidRPr="00000000">
        <w:rPr>
          <w:rtl w:val="0"/>
        </w:rPr>
      </w:r>
    </w:p>
    <w:p w:rsidR="00000000" w:rsidDel="00000000" w:rsidP="00000000" w:rsidRDefault="00000000" w:rsidRPr="00000000" w14:paraId="0000001E">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ChicagoFD1, “Chicago Fire Dept.- Iroquois Theater Fire, posted February 18, 2015, by         ChicagoFD1, YouTube, 10:51, </w:t>
      </w:r>
      <w:r w:rsidDel="00000000" w:rsidR="00000000" w:rsidRPr="00000000">
        <w:rPr>
          <w:rFonts w:ascii="Times New Roman" w:cs="Times New Roman" w:eastAsia="Times New Roman" w:hAnsi="Times New Roman"/>
          <w:sz w:val="24"/>
          <w:szCs w:val="24"/>
          <w:rtl w:val="0"/>
        </w:rPr>
        <w:t xml:space="preserve">https://www.youtube.com/watch?v=spzAGnNwaUg</w:t>
      </w:r>
    </w:p>
    <w:p w:rsidR="00000000" w:rsidDel="00000000" w:rsidP="00000000" w:rsidRDefault="00000000" w:rsidRPr="00000000" w14:paraId="00000020">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in the 1890’s.” The University of Chicago Library. Accessed November 9, 2025 </w:t>
      </w:r>
      <w:r w:rsidDel="00000000" w:rsidR="00000000" w:rsidRPr="00000000">
        <w:rPr>
          <w:rFonts w:ascii="Times New Roman" w:cs="Times New Roman" w:eastAsia="Times New Roman" w:hAnsi="Times New Roman"/>
          <w:sz w:val="24"/>
          <w:szCs w:val="24"/>
          <w:rtl w:val="0"/>
        </w:rPr>
        <w:t xml:space="preserve">https://www.lib.uchicago.edu/e/collections/maps/chi189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Caruso, Catherine. “How the Brain Balances Risk and Reward in Making Decisions.” </w:t>
      </w:r>
      <w:r w:rsidDel="00000000" w:rsidR="00000000" w:rsidRPr="00000000">
        <w:rPr>
          <w:rFonts w:ascii="Times New Roman" w:cs="Times New Roman" w:eastAsia="Times New Roman" w:hAnsi="Times New Roman"/>
          <w:i w:val="1"/>
          <w:iCs w:val="1"/>
          <w:sz w:val="24"/>
          <w:szCs w:val="24"/>
          <w:highlight w:val="white"/>
          <w:rtl w:val="0"/>
        </w:rPr>
        <w:t xml:space="preserve">Harvard Medical School, </w:t>
      </w:r>
      <w:r w:rsidDel="00000000" w:rsidR="00000000" w:rsidRPr="00000000">
        <w:rPr>
          <w:rFonts w:ascii="Times New Roman" w:cs="Times New Roman" w:eastAsia="Times New Roman" w:hAnsi="Times New Roman"/>
          <w:sz w:val="24"/>
          <w:szCs w:val="24"/>
          <w:highlight w:val="white"/>
          <w:rtl w:val="0"/>
        </w:rPr>
        <w:t xml:space="preserve">February 19, 2025, </w:t>
      </w:r>
      <w:r w:rsidDel="00000000" w:rsidR="00000000" w:rsidRPr="00000000">
        <w:rPr>
          <w:rFonts w:ascii="Times New Roman" w:cs="Times New Roman" w:eastAsia="Times New Roman" w:hAnsi="Times New Roman"/>
          <w:sz w:val="24"/>
          <w:szCs w:val="24"/>
          <w:highlight w:val="white"/>
          <w:rtl w:val="0"/>
        </w:rPr>
        <w:t xml:space="preserve">https://hms.harvard.edu/news/how-brain-balances-risk-reward-making-decisions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4">
      <w:pPr>
        <w:spacing w:line="240" w:lineRule="auto"/>
        <w:ind w:left="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Hayes, Andrew Martin. "The Iroquois Theatre Fire: Chicago's Other Great Fire." Order No. 9951294, The University of Nebraska - Lincoln, 1999. </w:t>
      </w:r>
      <w:r w:rsidDel="00000000" w:rsidR="00000000" w:rsidRPr="00000000">
        <w:rPr>
          <w:rFonts w:ascii="Times New Roman" w:cs="Times New Roman" w:eastAsia="Times New Roman" w:hAnsi="Times New Roman"/>
          <w:sz w:val="24"/>
          <w:szCs w:val="24"/>
          <w:highlight w:val="white"/>
          <w:rtl w:val="0"/>
        </w:rPr>
        <w:t xml:space="preserve">https://umw.idm.oclc.org/login?url=https://www.proquest.com/dissertations-theses/iroquois-theatre-fire-chicagos-other-great/docview/304511851/se-2</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Leonhardt, James M., L. Robin Keller, and Cornelia Pechmann. “Avoiding the Risk of </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Responsibility by Seeking Uncertainty: Responsibility Aversion and Preference for   Indirect Agency When Choosing for Others.” </w:t>
      </w:r>
      <w:r w:rsidDel="00000000" w:rsidR="00000000" w:rsidRPr="00000000">
        <w:rPr>
          <w:rFonts w:ascii="Times New Roman" w:cs="Times New Roman" w:eastAsia="Times New Roman" w:hAnsi="Times New Roman"/>
          <w:i w:val="1"/>
          <w:iCs w:val="1"/>
          <w:sz w:val="24"/>
          <w:szCs w:val="24"/>
          <w:highlight w:val="white"/>
          <w:rtl w:val="0"/>
        </w:rPr>
        <w:t xml:space="preserve">Journal of Consumer Psychology</w:t>
      </w:r>
      <w:r w:rsidDel="00000000" w:rsidR="00000000" w:rsidRPr="00000000">
        <w:rPr>
          <w:rFonts w:ascii="Times New Roman" w:cs="Times New Roman" w:eastAsia="Times New Roman" w:hAnsi="Times New Roman"/>
          <w:sz w:val="24"/>
          <w:szCs w:val="24"/>
          <w:highlight w:val="white"/>
          <w:rtl w:val="0"/>
        </w:rPr>
        <w:t xml:space="preserve"> 21, no. 4 (2011): 405–13. http://www.jstor.org/stable/23049311.</w:t>
      </w:r>
    </w:p>
    <w:p w:rsidR="00000000" w:rsidDel="00000000" w:rsidP="00000000" w:rsidRDefault="00000000" w:rsidRPr="00000000" w14:paraId="00000029">
      <w:pPr>
        <w:spacing w:line="480" w:lineRule="auto"/>
        <w:ind w:left="0" w:firstLine="0"/>
        <w:rPr>
          <w:rFonts w:ascii="Times New Roman" w:cs="Times New Roman" w:eastAsia="Times New Roman" w:hAnsi="Times New Roman"/>
          <w:i w:val="1"/>
          <w:iCs w:val="1"/>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alina Dave" w:id="3" w:date="2025-12-01T23:01:2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footnote</w:t>
      </w:r>
    </w:p>
  </w:comment>
  <w:comment w:author="Katalina Dave" w:id="0" w:date="2025-11-24T23:15:21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footnote, youtube</w:t>
      </w:r>
    </w:p>
  </w:comment>
  <w:comment w:author="Katalina Dave" w:id="2" w:date="2025-11-24T23:24:29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footnote</w:t>
      </w:r>
    </w:p>
  </w:comment>
  <w:comment w:author="Morgan Zimmerman" w:id="5" w:date="2025-12-04T22:25:36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here on, footnotes of this source will be "Leonhardt, pg#."</w:t>
      </w:r>
    </w:p>
  </w:comment>
  <w:comment w:author="Katalina Dave" w:id="1" w:date="2025-11-24T23:22:52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footnote</w:t>
      </w:r>
    </w:p>
  </w:comment>
  <w:comment w:author="Morgan Zimmerman" w:id="6" w:date="2025-12-04T22:24:53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here on, this footnote entry will be "Brandt, pg#."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i.e. Brandt, 37.</w:t>
      </w:r>
    </w:p>
  </w:comment>
  <w:comment w:author="Katalina Dave" w:id="4" w:date="2025-12-01T23:06:31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footnote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2C">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Iroquis Theatre Fire: Chicago’s Other Great Fire</w:t>
      </w:r>
      <w:r w:rsidDel="00000000" w:rsidR="00000000" w:rsidRPr="00000000">
        <w:rPr>
          <w:rFonts w:ascii="Times New Roman" w:cs="Times New Roman" w:eastAsia="Times New Roman" w:hAnsi="Times New Roman"/>
          <w:sz w:val="24"/>
          <w:szCs w:val="24"/>
          <w:rtl w:val="0"/>
        </w:rPr>
        <w:t xml:space="preserve"> </w:t>
        <w:br w:type="textWrapping"/>
      </w:r>
    </w:p>
  </w:footnote>
  <w:footnote w:id="6">
    <w:p w:rsidR="00000000" w:rsidDel="00000000" w:rsidP="00000000" w:rsidRDefault="00000000" w:rsidRPr="00000000" w14:paraId="0000002D">
      <w:pPr>
        <w:spacing w:line="240" w:lineRule="auto"/>
        <w:ind w:left="0"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commentRangeStart w:id="5"/>
      <w:r w:rsidDel="00000000" w:rsidR="00000000" w:rsidRPr="00000000">
        <w:rPr>
          <w:rFonts w:ascii="Times New Roman" w:cs="Times New Roman" w:eastAsia="Times New Roman" w:hAnsi="Times New Roman"/>
          <w:sz w:val="24"/>
          <w:szCs w:val="24"/>
          <w:rtl w:val="0"/>
        </w:rPr>
        <w:t xml:space="preserve">James M Leonhardt, L. Robin Keller and Cornelia Pechmann, “Avoiding the Risk of Responsibility by Seeking Uncertainty: Responsibility Aversion and Preference for Indirect Agency When Choosing for Others,” Journal of Consumer Psychology 21, no. 4 (2011): 405–13, </w:t>
      </w:r>
      <w:r w:rsidDel="00000000" w:rsidR="00000000" w:rsidRPr="00000000">
        <w:rPr>
          <w:rFonts w:ascii="Times New Roman" w:cs="Times New Roman" w:eastAsia="Times New Roman" w:hAnsi="Times New Roman"/>
          <w:sz w:val="24"/>
          <w:szCs w:val="24"/>
          <w:rtl w:val="0"/>
        </w:rPr>
        <w:t xml:space="preserve">http://www.jstor.org/stable/23049311</w:t>
      </w:r>
      <w:r w:rsidDel="00000000" w:rsidR="00000000" w:rsidRPr="00000000">
        <w:rPr>
          <w:rFonts w:ascii="Times New Roman" w:cs="Times New Roman" w:eastAsia="Times New Roman" w:hAnsi="Times New Roman"/>
          <w:sz w:val="24"/>
          <w:szCs w:val="24"/>
          <w:rtl w:val="0"/>
        </w:rPr>
        <w:t xml:space="preserve">.</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br w:type="textWrapping"/>
      </w:r>
    </w:p>
  </w:footnote>
  <w:footnote w:id="12">
    <w:p w:rsidR="00000000" w:rsidDel="00000000" w:rsidP="00000000" w:rsidRDefault="00000000" w:rsidRPr="00000000" w14:paraId="0000002E">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hicago Fire Dept.- Iroquois Theater Fire, YouTube</w:t>
        <w:br w:type="textWrapping"/>
      </w:r>
    </w:p>
  </w:footnote>
  <w:footnote w:id="14">
    <w:p w:rsidR="00000000" w:rsidDel="00000000" w:rsidP="00000000" w:rsidRDefault="00000000" w:rsidRPr="00000000" w14:paraId="0000002F">
      <w:pPr>
        <w:spacing w:line="240" w:lineRule="auto"/>
        <w:ind w:left="720" w:firstLine="720"/>
        <w:rPr>
          <w:rFonts w:ascii="Times New Roman" w:cs="Times New Roman" w:eastAsia="Times New Roman" w:hAnsi="Times New Roman"/>
          <w:i w:val="1"/>
          <w:iCs w:val="1"/>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tab/>
      </w:r>
      <w:r w:rsidDel="00000000" w:rsidR="00000000" w:rsidRPr="00000000">
        <w:rPr>
          <w:rFonts w:ascii="Times New Roman" w:cs="Times New Roman" w:eastAsia="Times New Roman" w:hAnsi="Times New Roman"/>
          <w:sz w:val="24"/>
          <w:szCs w:val="24"/>
          <w:rtl w:val="0"/>
        </w:rPr>
        <w:t xml:space="preserve">Remembering The 1911 Triangle Factory Fire, </w:t>
      </w:r>
      <w:r w:rsidDel="00000000" w:rsidR="00000000" w:rsidRPr="00000000">
        <w:rPr>
          <w:rFonts w:ascii="Times New Roman" w:cs="Times New Roman" w:eastAsia="Times New Roman" w:hAnsi="Times New Roman"/>
          <w:i w:val="1"/>
          <w:iCs w:val="1"/>
          <w:sz w:val="24"/>
          <w:szCs w:val="24"/>
          <w:rtl w:val="0"/>
        </w:rPr>
        <w:t xml:space="preserve">Investigation &amp; Trial,  Cornell University</w:t>
        <w:br w:type="textWrapping"/>
        <w:t xml:space="preserve">  </w:t>
      </w:r>
    </w:p>
  </w:footnote>
  <w:footnote w:id="0">
    <w:p w:rsidR="00000000" w:rsidDel="00000000" w:rsidP="00000000" w:rsidRDefault="00000000" w:rsidRPr="00000000" w14:paraId="00000030">
      <w:pPr>
        <w:spacing w:line="240" w:lineRule="auto"/>
        <w:ind w:left="0" w:firstLine="720"/>
        <w:rPr>
          <w:rFonts w:ascii="Times New Roman" w:cs="Times New Roman" w:eastAsia="Times New Roman" w:hAnsi="Times New Roman"/>
          <w:sz w:val="24"/>
          <w:szCs w:val="24"/>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highlight w:val="white"/>
          <w:rtl w:val="0"/>
        </w:rPr>
        <w:t xml:space="preserve"> Andrew Martin Hayes,  "The Iroquois Theatre Fire: Chicago's Other Great Fire," Order No. 9951294, The University of Nebraska - Lincoln, 1999, https://umw.idm.oclc.org/login?url=https://www.proquest.com/dissertations-theses/iroquois-theatre-fire-chicagos-other-great/docview/304511851/se-2.</w:t>
      </w:r>
    </w:p>
    <w:p w:rsidR="00000000" w:rsidDel="00000000" w:rsidP="00000000" w:rsidRDefault="00000000" w:rsidRPr="00000000" w14:paraId="0000003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033">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ChicagoFD1, “Chicago Fire Dept.- Iroquois Theater Fire,” posted February 18, 2015, by ChicagoFD1, YouTube, 10:51, </w:t>
      </w:r>
      <w:r w:rsidDel="00000000" w:rsidR="00000000" w:rsidRPr="00000000">
        <w:rPr>
          <w:rFonts w:ascii="Times New Roman" w:cs="Times New Roman" w:eastAsia="Times New Roman" w:hAnsi="Times New Roman"/>
          <w:sz w:val="24"/>
          <w:szCs w:val="24"/>
          <w:rtl w:val="0"/>
        </w:rPr>
        <w:t xml:space="preserve">https://www.youtube.com/watch?v=spzAGnNwaUg</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footnote>
  <w:footnote w:id="9">
    <w:p w:rsidR="00000000" w:rsidDel="00000000" w:rsidP="00000000" w:rsidRDefault="00000000" w:rsidRPr="00000000" w14:paraId="00000034">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commentRangeStart w:id="6"/>
      <w:r w:rsidDel="00000000" w:rsidR="00000000" w:rsidRPr="00000000">
        <w:rPr>
          <w:rFonts w:ascii="Times New Roman" w:cs="Times New Roman" w:eastAsia="Times New Roman" w:hAnsi="Times New Roman"/>
          <w:sz w:val="24"/>
          <w:szCs w:val="24"/>
          <w:rtl w:val="0"/>
        </w:rPr>
        <w:t xml:space="preserve">Nat Brandt, </w:t>
      </w:r>
      <w:r w:rsidDel="00000000" w:rsidR="00000000" w:rsidRPr="00000000">
        <w:rPr>
          <w:rFonts w:ascii="Times New Roman" w:cs="Times New Roman" w:eastAsia="Times New Roman" w:hAnsi="Times New Roman"/>
          <w:i w:val="1"/>
          <w:iCs w:val="1"/>
          <w:sz w:val="24"/>
          <w:szCs w:val="24"/>
          <w:rtl w:val="0"/>
        </w:rPr>
        <w:t xml:space="preserve">Chicago Death Trap: The Iroquois Theatre Fire of 1903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(Southern Illinois University Press, 2006), pg#.</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footnote>
  <w:footnote w:id="10">
    <w:p w:rsidR="00000000" w:rsidDel="00000000" w:rsidP="00000000" w:rsidRDefault="00000000" w:rsidRPr="00000000" w14:paraId="00000035">
      <w:pPr>
        <w:spacing w:line="240" w:lineRule="auto"/>
        <w:ind w:left="0"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60.</w:t>
        <w:br w:type="textWrapping"/>
      </w:r>
    </w:p>
  </w:footnote>
  <w:footnote w:id="11">
    <w:p w:rsidR="00000000" w:rsidDel="00000000" w:rsidP="00000000" w:rsidRDefault="00000000" w:rsidRPr="00000000" w14:paraId="00000036">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65</w:t>
        <w:br w:type="textWrapping"/>
      </w:r>
    </w:p>
  </w:footnote>
  <w:footnote w:id="13">
    <w:p w:rsidR="00000000" w:rsidDel="00000000" w:rsidP="00000000" w:rsidRDefault="00000000" w:rsidRPr="00000000" w14:paraId="00000037">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70</w:t>
      </w:r>
    </w:p>
  </w:footnote>
  <w:footnote w:id="15">
    <w:p w:rsidR="00000000" w:rsidDel="00000000" w:rsidP="00000000" w:rsidRDefault="00000000" w:rsidRPr="00000000" w14:paraId="00000038">
      <w:pPr>
        <w:spacing w:line="240" w:lineRule="auto"/>
        <w:ind w:firstLine="720"/>
        <w:rPr>
          <w:rFonts w:ascii="Times New Roman" w:cs="Times New Roman" w:eastAsia="Times New Roman" w:hAnsi="Times New Roman"/>
          <w:i w:val="1"/>
          <w:iCs w:val="1"/>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Remembering The 1911 Triangle Factory Fire, </w:t>
      </w:r>
      <w:r w:rsidDel="00000000" w:rsidR="00000000" w:rsidRPr="00000000">
        <w:rPr>
          <w:rFonts w:ascii="Times New Roman" w:cs="Times New Roman" w:eastAsia="Times New Roman" w:hAnsi="Times New Roman"/>
          <w:i w:val="1"/>
          <w:iCs w:val="1"/>
          <w:sz w:val="24"/>
          <w:szCs w:val="24"/>
          <w:rtl w:val="0"/>
        </w:rPr>
        <w:t xml:space="preserve">Reports, Cornell University</w:t>
      </w:r>
    </w:p>
  </w:footnote>
  <w:footnote w:id="16">
    <w:p w:rsidR="00000000" w:rsidDel="00000000" w:rsidP="00000000" w:rsidRDefault="00000000" w:rsidRPr="00000000" w14:paraId="00000039">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tab/>
      </w:r>
      <w:r w:rsidDel="00000000" w:rsidR="00000000" w:rsidRPr="00000000">
        <w:rPr>
          <w:rFonts w:ascii="Times New Roman" w:cs="Times New Roman" w:eastAsia="Times New Roman" w:hAnsi="Times New Roman"/>
          <w:sz w:val="24"/>
          <w:szCs w:val="24"/>
          <w:rtl w:val="0"/>
        </w:rPr>
        <w:t xml:space="preserve">Hayes, 1</w:t>
        <w:br w:type="textWrapping"/>
      </w:r>
    </w:p>
  </w:footnote>
  <w:footnote w:id="17">
    <w:p w:rsidR="00000000" w:rsidDel="00000000" w:rsidP="00000000" w:rsidRDefault="00000000" w:rsidRPr="00000000" w14:paraId="0000003A">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Caruso, Catherine. “How the Brain Balances Risk and Reward in Making Decisions.” </w:t>
      </w:r>
      <w:r w:rsidDel="00000000" w:rsidR="00000000" w:rsidRPr="00000000">
        <w:rPr>
          <w:rFonts w:ascii="Times New Roman" w:cs="Times New Roman" w:eastAsia="Times New Roman" w:hAnsi="Times New Roman"/>
          <w:i w:val="1"/>
          <w:iCs w:val="1"/>
          <w:sz w:val="24"/>
          <w:szCs w:val="24"/>
          <w:highlight w:val="white"/>
          <w:rtl w:val="0"/>
        </w:rPr>
        <w:t xml:space="preserve">Harvard Medical School, </w:t>
      </w:r>
      <w:r w:rsidDel="00000000" w:rsidR="00000000" w:rsidRPr="00000000">
        <w:rPr>
          <w:rFonts w:ascii="Times New Roman" w:cs="Times New Roman" w:eastAsia="Times New Roman" w:hAnsi="Times New Roman"/>
          <w:sz w:val="24"/>
          <w:szCs w:val="24"/>
          <w:highlight w:val="white"/>
          <w:rtl w:val="0"/>
        </w:rPr>
        <w:t xml:space="preserve">February 19, 2025, </w:t>
      </w:r>
      <w:r w:rsidDel="00000000" w:rsidR="00000000" w:rsidRPr="00000000">
        <w:rPr>
          <w:rFonts w:ascii="Times New Roman" w:cs="Times New Roman" w:eastAsia="Times New Roman" w:hAnsi="Times New Roman"/>
          <w:sz w:val="24"/>
          <w:szCs w:val="24"/>
          <w:highlight w:val="white"/>
          <w:rtl w:val="0"/>
        </w:rPr>
        <w:t xml:space="preserve">https://hms.harvard.edu/news/how-brain-balances-risk-reward-making-decisions</w:t>
      </w:r>
      <w:r w:rsidDel="00000000" w:rsidR="00000000" w:rsidRPr="00000000">
        <w:rPr>
          <w:rFonts w:ascii="Times New Roman" w:cs="Times New Roman" w:eastAsia="Times New Roman" w:hAnsi="Times New Roman"/>
          <w:sz w:val="24"/>
          <w:szCs w:val="24"/>
          <w:highlight w:val="white"/>
          <w:rtl w:val="0"/>
        </w:rPr>
        <w:t xml:space="preserve">.</w:t>
        <w:br w:type="textWrapping"/>
      </w:r>
      <w:r w:rsidDel="00000000" w:rsidR="00000000" w:rsidRPr="00000000">
        <w:rPr>
          <w:rtl w:val="0"/>
        </w:rPr>
      </w:r>
    </w:p>
  </w:footnote>
  <w:footnote w:id="18">
    <w:p w:rsidR="00000000" w:rsidDel="00000000" w:rsidP="00000000" w:rsidRDefault="00000000" w:rsidRPr="00000000" w14:paraId="0000003B">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40</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footnote>
  <w:footnote w:id="4">
    <w:p w:rsidR="00000000" w:rsidDel="00000000" w:rsidP="00000000" w:rsidRDefault="00000000" w:rsidRPr="00000000" w14:paraId="0000003D">
      <w:pPr>
        <w:spacing w:line="240" w:lineRule="auto"/>
        <w:ind w:firstLine="72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hicago Fire Dept.- Iroquois Theater Fire, YouTube</w:t>
        <w:br w:type="textWrapping"/>
      </w:r>
      <w:r w:rsidDel="00000000" w:rsidR="00000000" w:rsidRPr="00000000">
        <w:rPr>
          <w:rtl w:val="0"/>
        </w:rPr>
      </w:r>
    </w:p>
  </w:footnote>
  <w:footnote w:id="1">
    <w:p w:rsidR="00000000" w:rsidDel="00000000" w:rsidP="00000000" w:rsidRDefault="00000000" w:rsidRPr="00000000" w14:paraId="0000003E">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Hayes, 2</w:t>
        <w:br w:type="textWrapping"/>
      </w:r>
    </w:p>
  </w:footnote>
  <w:footnote w:id="19">
    <w:p w:rsidR="00000000" w:rsidDel="00000000" w:rsidP="00000000" w:rsidRDefault="00000000" w:rsidRPr="00000000" w14:paraId="0000003F">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155-157</w:t>
        <w:br w:type="textWrapping"/>
      </w:r>
    </w:p>
  </w:footnote>
  <w:footnote w:id="2">
    <w:p w:rsidR="00000000" w:rsidDel="00000000" w:rsidP="00000000" w:rsidRDefault="00000000" w:rsidRPr="00000000" w14:paraId="00000040">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“Chicago in the 1890’s.” The University of Chicago Library, Accessed November 9, 2025 https://www.lib.uchicago.edu/e/collections/maps/chi189.</w:t>
      </w:r>
    </w:p>
    <w:p w:rsidR="00000000" w:rsidDel="00000000" w:rsidP="00000000" w:rsidRDefault="00000000" w:rsidRPr="00000000" w14:paraId="00000041">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42">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33 </w:t>
      </w:r>
    </w:p>
  </w:footnote>
  <w:footnote w:id="8">
    <w:p w:rsidR="00000000" w:rsidDel="00000000" w:rsidP="00000000" w:rsidRDefault="00000000" w:rsidRPr="00000000" w14:paraId="00000043">
      <w:pPr>
        <w:spacing w:line="240" w:lineRule="auto"/>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Brandt, 17</w:t>
        <w:br w:type="textWrapping"/>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